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D2" w:rsidRDefault="004407D2" w:rsidP="004407D2">
      <w:pPr>
        <w:spacing w:after="0" w:line="240" w:lineRule="auto"/>
        <w:ind w:left="1440" w:hanging="1440"/>
        <w:jc w:val="center"/>
        <w:rPr>
          <w:rFonts w:cs="Times New Roman"/>
          <w:b/>
          <w:sz w:val="28"/>
          <w:szCs w:val="28"/>
        </w:rPr>
      </w:pPr>
      <w:r w:rsidRPr="00BB763D">
        <w:rPr>
          <w:rFonts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1567FBD" wp14:editId="7E6F66F3">
            <wp:simplePos x="0" y="0"/>
            <wp:positionH relativeFrom="column">
              <wp:posOffset>-514985</wp:posOffset>
            </wp:positionH>
            <wp:positionV relativeFrom="paragraph">
              <wp:posOffset>0</wp:posOffset>
            </wp:positionV>
            <wp:extent cx="1036320" cy="1052195"/>
            <wp:effectExtent l="0" t="0" r="0" b="0"/>
            <wp:wrapSquare wrapText="bothSides"/>
            <wp:docPr id="40" name="Picture 40" descr="Insignia of Khyber Pakhtunkh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 of Khyber Pakhtunkhw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7D2" w:rsidRDefault="004407D2" w:rsidP="004407D2">
      <w:pPr>
        <w:spacing w:after="0" w:line="240" w:lineRule="auto"/>
        <w:ind w:left="1440" w:hanging="1440"/>
        <w:jc w:val="center"/>
        <w:rPr>
          <w:rFonts w:cs="Times New Roman"/>
          <w:b/>
          <w:sz w:val="28"/>
          <w:szCs w:val="28"/>
        </w:rPr>
      </w:pPr>
    </w:p>
    <w:p w:rsidR="004407D2" w:rsidRPr="00CD6D82" w:rsidRDefault="004407D2" w:rsidP="004407D2">
      <w:pPr>
        <w:spacing w:after="0" w:line="240" w:lineRule="auto"/>
        <w:ind w:left="1440" w:hanging="1440"/>
        <w:jc w:val="center"/>
        <w:rPr>
          <w:rFonts w:asciiTheme="minorBidi" w:hAnsiTheme="minorBidi"/>
          <w:b/>
          <w:sz w:val="36"/>
          <w:szCs w:val="36"/>
        </w:rPr>
      </w:pPr>
      <w:r w:rsidRPr="00CD6D82">
        <w:rPr>
          <w:rFonts w:asciiTheme="minorBidi" w:hAnsiTheme="minorBidi"/>
          <w:b/>
          <w:sz w:val="36"/>
          <w:szCs w:val="36"/>
        </w:rPr>
        <w:t>Government of Khyber Pakhtunkhwa</w:t>
      </w:r>
    </w:p>
    <w:p w:rsidR="004407D2" w:rsidRPr="00CD6D82" w:rsidRDefault="004407D2" w:rsidP="004407D2">
      <w:pPr>
        <w:pBdr>
          <w:bottom w:val="single" w:sz="6" w:space="1" w:color="auto"/>
        </w:pBdr>
        <w:spacing w:after="0" w:line="240" w:lineRule="auto"/>
        <w:ind w:left="1440" w:hanging="1440"/>
        <w:jc w:val="center"/>
        <w:rPr>
          <w:rFonts w:asciiTheme="minorBidi" w:hAnsiTheme="minorBidi"/>
          <w:b/>
          <w:sz w:val="36"/>
          <w:szCs w:val="36"/>
        </w:rPr>
      </w:pPr>
      <w:r w:rsidRPr="00CD6D82">
        <w:rPr>
          <w:rFonts w:asciiTheme="minorBidi" w:hAnsiTheme="minorBidi"/>
          <w:b/>
          <w:sz w:val="36"/>
          <w:szCs w:val="36"/>
        </w:rPr>
        <w:t>Elementary &amp; Secondary Education Department</w:t>
      </w:r>
    </w:p>
    <w:p w:rsidR="004407D2" w:rsidRPr="007252F4" w:rsidRDefault="004407D2" w:rsidP="00CD6D82">
      <w:pPr>
        <w:spacing w:after="0" w:line="276" w:lineRule="auto"/>
        <w:ind w:left="4320" w:firstLine="720"/>
        <w:jc w:val="right"/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t xml:space="preserve">             </w:t>
      </w:r>
      <w:r w:rsidR="00CD6D82" w:rsidRPr="007252F4">
        <w:rPr>
          <w:rFonts w:asciiTheme="majorBidi" w:hAnsiTheme="majorBidi" w:cstheme="majorBidi"/>
          <w:sz w:val="24"/>
          <w:szCs w:val="24"/>
        </w:rPr>
        <w:t>Dated Peshawar, the June 07</w:t>
      </w:r>
      <w:r w:rsidRPr="007252F4">
        <w:rPr>
          <w:rFonts w:asciiTheme="majorBidi" w:hAnsiTheme="majorBidi" w:cstheme="majorBidi"/>
          <w:sz w:val="24"/>
          <w:szCs w:val="24"/>
        </w:rPr>
        <w:t>, 2021</w:t>
      </w:r>
    </w:p>
    <w:p w:rsidR="00386B52" w:rsidRPr="007252F4" w:rsidRDefault="004407D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252F4">
        <w:rPr>
          <w:rFonts w:asciiTheme="majorBidi" w:hAnsiTheme="majorBidi" w:cstheme="majorBidi"/>
          <w:b/>
          <w:bCs/>
          <w:sz w:val="24"/>
          <w:szCs w:val="24"/>
          <w:u w:val="single"/>
        </w:rPr>
        <w:t>N</w:t>
      </w:r>
      <w:r w:rsidR="00046604" w:rsidRPr="007252F4">
        <w:rPr>
          <w:rFonts w:asciiTheme="majorBidi" w:hAnsiTheme="majorBidi" w:cstheme="majorBidi"/>
          <w:b/>
          <w:bCs/>
          <w:sz w:val="24"/>
          <w:szCs w:val="24"/>
          <w:u w:val="single"/>
        </w:rPr>
        <w:t>OTIFICATION</w:t>
      </w:r>
    </w:p>
    <w:p w:rsidR="001C5515" w:rsidRPr="007252F4" w:rsidRDefault="00046604" w:rsidP="007C11C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252F4">
        <w:rPr>
          <w:rFonts w:asciiTheme="majorBidi" w:hAnsiTheme="majorBidi" w:cstheme="majorBidi"/>
          <w:b/>
          <w:bCs/>
          <w:sz w:val="24"/>
          <w:szCs w:val="24"/>
          <w:u w:val="single"/>
        </w:rPr>
        <w:t>No.ESRU</w:t>
      </w:r>
      <w:proofErr w:type="spellEnd"/>
      <w:r w:rsidRPr="007252F4">
        <w:rPr>
          <w:rFonts w:asciiTheme="majorBidi" w:hAnsiTheme="majorBidi" w:cstheme="majorBidi"/>
          <w:b/>
          <w:bCs/>
          <w:sz w:val="24"/>
          <w:szCs w:val="24"/>
          <w:u w:val="single"/>
        </w:rPr>
        <w:t>/</w:t>
      </w:r>
      <w:proofErr w:type="gramStart"/>
      <w:r w:rsidRPr="007252F4">
        <w:rPr>
          <w:rFonts w:asciiTheme="majorBidi" w:hAnsiTheme="majorBidi" w:cstheme="majorBidi"/>
          <w:b/>
          <w:bCs/>
          <w:sz w:val="24"/>
          <w:szCs w:val="24"/>
          <w:u w:val="single"/>
        </w:rPr>
        <w:t>SO(</w:t>
      </w:r>
      <w:proofErr w:type="gramEnd"/>
      <w:r w:rsidRPr="007252F4">
        <w:rPr>
          <w:rFonts w:asciiTheme="majorBidi" w:hAnsiTheme="majorBidi" w:cstheme="majorBidi"/>
          <w:b/>
          <w:bCs/>
          <w:sz w:val="24"/>
          <w:szCs w:val="24"/>
          <w:u w:val="single"/>
        </w:rPr>
        <w:t>Imp)-I/E&amp;SED/2021:</w:t>
      </w:r>
      <w:r w:rsidRPr="007252F4">
        <w:rPr>
          <w:rFonts w:asciiTheme="majorBidi" w:hAnsiTheme="majorBidi" w:cstheme="majorBidi"/>
          <w:sz w:val="24"/>
          <w:szCs w:val="24"/>
        </w:rPr>
        <w:t xml:space="preserve"> Consequent upon approval of the Chief Minister Khyber Pakhtunkhwa, the Competent Authority is pleased to notify the following Short Listing, Aptitude Test Committee and Selection panel </w:t>
      </w:r>
      <w:r w:rsidR="005E2A28" w:rsidRPr="007252F4">
        <w:rPr>
          <w:rFonts w:asciiTheme="majorBidi" w:hAnsiTheme="majorBidi" w:cstheme="majorBidi"/>
          <w:sz w:val="24"/>
          <w:szCs w:val="24"/>
        </w:rPr>
        <w:t xml:space="preserve">as per requirements of the Cabinet approved </w:t>
      </w:r>
      <w:r w:rsidR="005E2A28" w:rsidRPr="007252F4">
        <w:rPr>
          <w:rFonts w:asciiTheme="majorBidi" w:hAnsiTheme="majorBidi" w:cstheme="majorBidi"/>
          <w:b/>
          <w:bCs/>
          <w:sz w:val="24"/>
          <w:szCs w:val="24"/>
        </w:rPr>
        <w:t>“Recruitment Policy for Market Based Talent”</w:t>
      </w:r>
      <w:r w:rsidR="005E2A28" w:rsidRPr="007252F4">
        <w:rPr>
          <w:rFonts w:asciiTheme="majorBidi" w:hAnsiTheme="majorBidi" w:cstheme="majorBidi"/>
          <w:sz w:val="24"/>
          <w:szCs w:val="24"/>
        </w:rPr>
        <w:t xml:space="preserve">, for </w:t>
      </w:r>
      <w:r w:rsidR="001C5515" w:rsidRPr="007252F4">
        <w:rPr>
          <w:rFonts w:asciiTheme="majorBidi" w:hAnsiTheme="majorBidi" w:cstheme="majorBidi"/>
          <w:sz w:val="24"/>
          <w:szCs w:val="24"/>
        </w:rPr>
        <w:t>hiring</w:t>
      </w:r>
      <w:r w:rsidRPr="007252F4">
        <w:rPr>
          <w:rFonts w:asciiTheme="majorBidi" w:hAnsiTheme="majorBidi" w:cstheme="majorBidi"/>
          <w:sz w:val="24"/>
          <w:szCs w:val="24"/>
        </w:rPr>
        <w:t xml:space="preserve"> </w:t>
      </w:r>
      <w:r w:rsidR="001C5515" w:rsidRPr="007252F4">
        <w:rPr>
          <w:rFonts w:asciiTheme="majorBidi" w:hAnsiTheme="majorBidi" w:cstheme="majorBidi"/>
          <w:sz w:val="24"/>
          <w:szCs w:val="24"/>
        </w:rPr>
        <w:t xml:space="preserve">against the </w:t>
      </w:r>
      <w:r w:rsidR="007C11C2" w:rsidRPr="007252F4">
        <w:rPr>
          <w:rFonts w:asciiTheme="majorBidi" w:hAnsiTheme="majorBidi" w:cstheme="majorBidi"/>
          <w:sz w:val="24"/>
          <w:szCs w:val="24"/>
        </w:rPr>
        <w:t>seven specialised</w:t>
      </w:r>
      <w:r w:rsidR="001C5515" w:rsidRPr="007252F4">
        <w:rPr>
          <w:rFonts w:asciiTheme="majorBidi" w:hAnsiTheme="majorBidi" w:cstheme="majorBidi"/>
          <w:sz w:val="24"/>
          <w:szCs w:val="24"/>
        </w:rPr>
        <w:t xml:space="preserve"> </w:t>
      </w:r>
      <w:r w:rsidR="007C11C2" w:rsidRPr="007252F4">
        <w:rPr>
          <w:rFonts w:asciiTheme="majorBidi" w:hAnsiTheme="majorBidi" w:cstheme="majorBidi"/>
          <w:sz w:val="24"/>
          <w:szCs w:val="24"/>
        </w:rPr>
        <w:t xml:space="preserve">MP Scale </w:t>
      </w:r>
      <w:r w:rsidR="001C5515" w:rsidRPr="007252F4">
        <w:rPr>
          <w:rFonts w:asciiTheme="majorBidi" w:hAnsiTheme="majorBidi" w:cstheme="majorBidi"/>
          <w:sz w:val="24"/>
          <w:szCs w:val="24"/>
        </w:rPr>
        <w:t xml:space="preserve">posts </w:t>
      </w:r>
      <w:r w:rsidR="007C11C2" w:rsidRPr="007252F4">
        <w:rPr>
          <w:rFonts w:asciiTheme="majorBidi" w:hAnsiTheme="majorBidi" w:cstheme="majorBidi"/>
          <w:sz w:val="24"/>
          <w:szCs w:val="24"/>
        </w:rPr>
        <w:t xml:space="preserve">created for ESRU </w:t>
      </w:r>
      <w:r w:rsidR="001C5515" w:rsidRPr="007252F4">
        <w:rPr>
          <w:rFonts w:asciiTheme="majorBidi" w:hAnsiTheme="majorBidi" w:cstheme="majorBidi"/>
          <w:sz w:val="24"/>
          <w:szCs w:val="24"/>
        </w:rPr>
        <w:t>under three stage evaluation process as follows:</w:t>
      </w:r>
    </w:p>
    <w:p w:rsidR="001C5515" w:rsidRPr="007252F4" w:rsidRDefault="007C11C2" w:rsidP="001C5515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252F4">
        <w:rPr>
          <w:rFonts w:asciiTheme="majorBidi" w:hAnsiTheme="majorBidi" w:cstheme="majorBidi"/>
          <w:b/>
          <w:bCs/>
          <w:sz w:val="24"/>
          <w:szCs w:val="24"/>
          <w:u w:val="single"/>
        </w:rPr>
        <w:t>Composition of the Committees/Panel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0"/>
        <w:gridCol w:w="1590"/>
        <w:gridCol w:w="7270"/>
      </w:tblGrid>
      <w:tr w:rsidR="001B084F" w:rsidRPr="007252F4" w:rsidTr="008547EA">
        <w:trPr>
          <w:trHeight w:val="312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S#</w:t>
            </w: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Committee</w:t>
            </w:r>
          </w:p>
        </w:tc>
        <w:tc>
          <w:tcPr>
            <w:tcW w:w="3919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B084F" w:rsidRPr="007252F4" w:rsidRDefault="001B084F" w:rsidP="008547E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Composition</w:t>
            </w:r>
          </w:p>
        </w:tc>
      </w:tr>
      <w:tr w:rsidR="001B084F" w:rsidRPr="007252F4" w:rsidTr="001B084F">
        <w:trPr>
          <w:trHeight w:val="312"/>
        </w:trPr>
        <w:tc>
          <w:tcPr>
            <w:tcW w:w="24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For hiring against MP-II/III Scale Positions</w:t>
            </w:r>
          </w:p>
        </w:tc>
      </w:tr>
      <w:tr w:rsidR="001B084F" w:rsidRPr="007252F4" w:rsidTr="001B084F">
        <w:trPr>
          <w:trHeight w:val="312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Short Listing Committee</w:t>
            </w: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  <w:r w:rsidRPr="007252F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(CV Evaluation)</w:t>
            </w:r>
          </w:p>
        </w:tc>
        <w:tc>
          <w:tcPr>
            <w:tcW w:w="391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Director ESRU – Chairperson</w:t>
            </w:r>
          </w:p>
        </w:tc>
        <w:bookmarkStart w:id="0" w:name="_GoBack"/>
        <w:bookmarkEnd w:id="0"/>
      </w:tr>
      <w:tr w:rsidR="001B084F" w:rsidRPr="007252F4" w:rsidTr="001B084F">
        <w:trPr>
          <w:trHeight w:val="624"/>
        </w:trPr>
        <w:tc>
          <w:tcPr>
            <w:tcW w:w="24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Section Officer (General), E&amp;SED – Member</w:t>
            </w:r>
          </w:p>
        </w:tc>
      </w:tr>
      <w:tr w:rsidR="001B084F" w:rsidRPr="007252F4" w:rsidTr="001B084F">
        <w:trPr>
          <w:trHeight w:val="624"/>
        </w:trPr>
        <w:tc>
          <w:tcPr>
            <w:tcW w:w="24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Section Officer Budget, E&amp;SED – Member</w:t>
            </w:r>
          </w:p>
        </w:tc>
      </w:tr>
      <w:tr w:rsidR="001B084F" w:rsidRPr="007252F4" w:rsidTr="001B084F">
        <w:trPr>
          <w:trHeight w:val="312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Aptitude Test Committee</w:t>
            </w: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  <w:r w:rsidRPr="007252F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(First round of interviews/ presentations)</w:t>
            </w:r>
          </w:p>
        </w:tc>
        <w:tc>
          <w:tcPr>
            <w:tcW w:w="391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Special Secretary E&amp;SED – Chairperson</w:t>
            </w:r>
          </w:p>
        </w:tc>
      </w:tr>
      <w:tr w:rsidR="001B084F" w:rsidRPr="007252F4" w:rsidTr="001B084F">
        <w:trPr>
          <w:trHeight w:val="312"/>
        </w:trPr>
        <w:tc>
          <w:tcPr>
            <w:tcW w:w="24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Director ESRU – Member</w:t>
            </w:r>
          </w:p>
        </w:tc>
      </w:tr>
      <w:tr w:rsidR="001B084F" w:rsidRPr="007252F4" w:rsidTr="001B084F">
        <w:trPr>
          <w:trHeight w:val="312"/>
        </w:trPr>
        <w:tc>
          <w:tcPr>
            <w:tcW w:w="24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Director E&amp;SE – Member</w:t>
            </w:r>
          </w:p>
        </w:tc>
      </w:tr>
      <w:tr w:rsidR="001B084F" w:rsidRPr="007252F4" w:rsidTr="001B084F">
        <w:trPr>
          <w:trHeight w:val="312"/>
        </w:trPr>
        <w:tc>
          <w:tcPr>
            <w:tcW w:w="24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Director PITE – Member</w:t>
            </w:r>
          </w:p>
        </w:tc>
      </w:tr>
      <w:tr w:rsidR="001B084F" w:rsidRPr="007252F4" w:rsidTr="001B084F">
        <w:trPr>
          <w:trHeight w:val="312"/>
        </w:trPr>
        <w:tc>
          <w:tcPr>
            <w:tcW w:w="2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Selection Panel</w:t>
            </w: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  <w:r w:rsidRPr="007252F4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(Second round of interviews/ presentations)</w:t>
            </w:r>
          </w:p>
        </w:tc>
        <w:tc>
          <w:tcPr>
            <w:tcW w:w="391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Secretary E&amp;SED – Chairperson</w:t>
            </w:r>
          </w:p>
        </w:tc>
      </w:tr>
      <w:tr w:rsidR="001B084F" w:rsidRPr="007252F4" w:rsidTr="001B084F">
        <w:trPr>
          <w:trHeight w:val="936"/>
        </w:trPr>
        <w:tc>
          <w:tcPr>
            <w:tcW w:w="24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Nominee of Establishment Department not below the rank of Additional Secretary – Member</w:t>
            </w:r>
          </w:p>
        </w:tc>
      </w:tr>
      <w:tr w:rsidR="001B084F" w:rsidRPr="007252F4" w:rsidTr="001B084F">
        <w:trPr>
          <w:trHeight w:val="54"/>
        </w:trPr>
        <w:tc>
          <w:tcPr>
            <w:tcW w:w="24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084F" w:rsidRPr="007252F4" w:rsidRDefault="001B084F" w:rsidP="00E5388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84F" w:rsidRPr="007252F4" w:rsidRDefault="001B084F" w:rsidP="00E5388F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52F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  Nominee of Finance Department not below the rank of Additional Secretary – Member</w:t>
            </w:r>
          </w:p>
        </w:tc>
      </w:tr>
    </w:tbl>
    <w:p w:rsidR="001C5515" w:rsidRPr="007252F4" w:rsidRDefault="001C5515" w:rsidP="001C551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C5515" w:rsidRPr="007252F4" w:rsidRDefault="007C11C2">
      <w:pPr>
        <w:rPr>
          <w:rFonts w:asciiTheme="majorBidi" w:hAnsiTheme="majorBidi" w:cstheme="majorBidi"/>
          <w:sz w:val="24"/>
          <w:szCs w:val="24"/>
          <w:u w:val="single"/>
        </w:rPr>
      </w:pPr>
      <w:r w:rsidRPr="007252F4">
        <w:rPr>
          <w:rFonts w:asciiTheme="majorBidi" w:hAnsiTheme="majorBidi" w:cstheme="majorBidi"/>
          <w:sz w:val="24"/>
          <w:szCs w:val="24"/>
          <w:u w:val="single"/>
        </w:rPr>
        <w:t>ToRs:</w:t>
      </w:r>
    </w:p>
    <w:p w:rsidR="001C5515" w:rsidRPr="007252F4" w:rsidRDefault="007C11C2" w:rsidP="001B3C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t>Draft advertisement for and publish the same in three dallies (</w:t>
      </w:r>
      <w:r w:rsidR="00E50FE9" w:rsidRPr="007252F4">
        <w:rPr>
          <w:rFonts w:asciiTheme="majorBidi" w:hAnsiTheme="majorBidi" w:cstheme="majorBidi"/>
          <w:sz w:val="24"/>
          <w:szCs w:val="24"/>
        </w:rPr>
        <w:t>2 leading national and one widely circulated local newspapers)</w:t>
      </w:r>
    </w:p>
    <w:p w:rsidR="00E50FE9" w:rsidRPr="007252F4" w:rsidRDefault="00E50FE9" w:rsidP="001B3C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lastRenderedPageBreak/>
        <w:t>Set up system for receipt of applications from potential candidates</w:t>
      </w:r>
    </w:p>
    <w:p w:rsidR="00E50FE9" w:rsidRPr="007252F4" w:rsidRDefault="00E50FE9" w:rsidP="001B3C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t>Short list potential candidates against approved eligibility criteria</w:t>
      </w:r>
    </w:p>
    <w:p w:rsidR="00E50FE9" w:rsidRPr="007252F4" w:rsidRDefault="00E50FE9" w:rsidP="001B3C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t>Call shortlisted candidates for tests/interviews</w:t>
      </w:r>
    </w:p>
    <w:p w:rsidR="00E50FE9" w:rsidRPr="007252F4" w:rsidRDefault="00E50FE9" w:rsidP="001B3C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t>Assess shortlisted candidates against the approved ToRs and eligibility criteria</w:t>
      </w:r>
    </w:p>
    <w:p w:rsidR="00E50FE9" w:rsidRPr="007252F4" w:rsidRDefault="00E50FE9" w:rsidP="001B3C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t>Select best candidates against each position advertised</w:t>
      </w:r>
    </w:p>
    <w:p w:rsidR="00E50FE9" w:rsidRPr="007252F4" w:rsidRDefault="00E50FE9" w:rsidP="00E50FE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t xml:space="preserve">Maintain and disclose transparent hiring system to promote competition and to achieve objectives of Cabinet approved </w:t>
      </w:r>
      <w:r w:rsidRPr="007252F4">
        <w:rPr>
          <w:rFonts w:asciiTheme="majorBidi" w:hAnsiTheme="majorBidi" w:cstheme="majorBidi"/>
          <w:b/>
          <w:bCs/>
          <w:sz w:val="24"/>
          <w:szCs w:val="24"/>
        </w:rPr>
        <w:t>“Recruitment Policy for Market Based Talent”</w:t>
      </w:r>
    </w:p>
    <w:p w:rsidR="004407D2" w:rsidRPr="007252F4" w:rsidRDefault="00E50FE9" w:rsidP="00E50FE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252F4">
        <w:rPr>
          <w:rFonts w:asciiTheme="majorBidi" w:hAnsiTheme="majorBidi" w:cstheme="majorBidi"/>
          <w:sz w:val="24"/>
          <w:szCs w:val="24"/>
        </w:rPr>
        <w:t>Recommend final candidates to E&amp;SED for hiring against the advertised posts</w:t>
      </w:r>
    </w:p>
    <w:p w:rsidR="006F7F9C" w:rsidRPr="007252F4" w:rsidRDefault="006F7F9C" w:rsidP="006F7F9C">
      <w:pPr>
        <w:spacing w:after="0"/>
        <w:ind w:left="5040"/>
        <w:jc w:val="center"/>
        <w:rPr>
          <w:rFonts w:asciiTheme="majorBidi" w:hAnsiTheme="majorBidi" w:cstheme="majorBidi"/>
          <w:sz w:val="24"/>
          <w:szCs w:val="24"/>
        </w:rPr>
      </w:pPr>
    </w:p>
    <w:p w:rsidR="004407D2" w:rsidRPr="007252F4" w:rsidRDefault="006F7F9C" w:rsidP="006F7F9C">
      <w:pPr>
        <w:spacing w:after="0"/>
        <w:ind w:left="5040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7252F4">
        <w:rPr>
          <w:rFonts w:asciiTheme="majorBidi" w:hAnsiTheme="majorBidi" w:cstheme="majorBidi"/>
          <w:sz w:val="24"/>
          <w:szCs w:val="24"/>
        </w:rPr>
        <w:t>-</w:t>
      </w:r>
      <w:r w:rsidR="00617FC8" w:rsidRPr="007252F4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617FC8" w:rsidRPr="007252F4">
        <w:rPr>
          <w:rFonts w:asciiTheme="majorBidi" w:hAnsiTheme="majorBidi" w:cstheme="majorBidi"/>
          <w:sz w:val="24"/>
          <w:szCs w:val="24"/>
        </w:rPr>
        <w:t>Sd</w:t>
      </w:r>
      <w:proofErr w:type="spellEnd"/>
      <w:r w:rsidR="00617FC8" w:rsidRPr="007252F4">
        <w:rPr>
          <w:rFonts w:asciiTheme="majorBidi" w:hAnsiTheme="majorBidi" w:cstheme="majorBidi"/>
          <w:sz w:val="24"/>
          <w:szCs w:val="24"/>
        </w:rPr>
        <w:t>--</w:t>
      </w:r>
      <w:proofErr w:type="gramEnd"/>
    </w:p>
    <w:p w:rsidR="00617FC8" w:rsidRPr="007252F4" w:rsidRDefault="00617FC8" w:rsidP="006F7F9C">
      <w:pPr>
        <w:pStyle w:val="NoSpacing"/>
        <w:spacing w:line="276" w:lineRule="auto"/>
        <w:ind w:left="5040"/>
        <w:jc w:val="center"/>
        <w:rPr>
          <w:rFonts w:asciiTheme="majorBidi" w:hAnsiTheme="majorBidi" w:cstheme="majorBidi"/>
          <w:b/>
          <w:szCs w:val="24"/>
          <w:lang w:val="en-GB"/>
        </w:rPr>
      </w:pPr>
      <w:r w:rsidRPr="007252F4">
        <w:rPr>
          <w:rFonts w:asciiTheme="majorBidi" w:hAnsiTheme="majorBidi" w:cstheme="majorBidi"/>
          <w:b/>
          <w:szCs w:val="24"/>
          <w:lang w:val="en-GB"/>
        </w:rPr>
        <w:t>SECRETARY</w:t>
      </w:r>
    </w:p>
    <w:p w:rsidR="00617FC8" w:rsidRPr="007252F4" w:rsidRDefault="00617FC8" w:rsidP="00617FC8">
      <w:pPr>
        <w:pStyle w:val="NoSpacing"/>
        <w:spacing w:after="120" w:line="276" w:lineRule="auto"/>
        <w:jc w:val="both"/>
        <w:rPr>
          <w:rFonts w:asciiTheme="majorBidi" w:hAnsiTheme="majorBidi" w:cstheme="majorBidi"/>
          <w:b/>
          <w:bCs/>
          <w:szCs w:val="24"/>
          <w:u w:val="single"/>
        </w:rPr>
      </w:pPr>
      <w:r w:rsidRPr="007252F4">
        <w:rPr>
          <w:rFonts w:asciiTheme="majorBidi" w:hAnsiTheme="majorBidi" w:cstheme="majorBidi"/>
          <w:b/>
          <w:bCs/>
          <w:szCs w:val="24"/>
          <w:u w:val="single"/>
        </w:rPr>
        <w:t>Endst: No. &amp; Date Even</w:t>
      </w:r>
    </w:p>
    <w:p w:rsidR="001663CD" w:rsidRPr="007252F4" w:rsidRDefault="001663CD" w:rsidP="00617FC8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Additional Chief Secretary, Planning &amp; Development Department, Khyber Pakhtunkhwa</w:t>
      </w:r>
    </w:p>
    <w:p w:rsidR="001663CD" w:rsidRPr="007252F4" w:rsidRDefault="001663CD" w:rsidP="00617FC8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Secretary to Government of Khyber Pakhtunkhwa, Finance Department</w:t>
      </w:r>
    </w:p>
    <w:p w:rsidR="001663CD" w:rsidRPr="007252F4" w:rsidRDefault="001663CD" w:rsidP="001663CD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Secretary to Government of Khyber Pakhtunkhwa, Establishment Department</w:t>
      </w:r>
    </w:p>
    <w:p w:rsidR="00617FC8" w:rsidRPr="007252F4" w:rsidRDefault="00617FC8" w:rsidP="00617FC8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Accountant General, Khyber Pakhtunkhwa.</w:t>
      </w:r>
    </w:p>
    <w:p w:rsidR="00105240" w:rsidRPr="007252F4" w:rsidRDefault="00105240" w:rsidP="00105240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PS to Chief Secretary, Khyber Pakhtunkhwa.</w:t>
      </w:r>
    </w:p>
    <w:p w:rsidR="00105240" w:rsidRPr="007252F4" w:rsidRDefault="00105240" w:rsidP="00105240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PS to Minister E&amp;SED, Khyber Pakhtunkhwa.</w:t>
      </w:r>
    </w:p>
    <w:p w:rsidR="00105240" w:rsidRPr="007252F4" w:rsidRDefault="00105240" w:rsidP="00105240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PS to Secretary E&amp;SE Department, Khyber Pakhtunkhwa</w:t>
      </w:r>
    </w:p>
    <w:p w:rsidR="00617FC8" w:rsidRPr="007252F4" w:rsidRDefault="00617FC8" w:rsidP="00105240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 xml:space="preserve">Director EMIS </w:t>
      </w:r>
      <w:r w:rsidRPr="007252F4">
        <w:rPr>
          <w:rFonts w:asciiTheme="majorBidi" w:hAnsiTheme="majorBidi" w:cstheme="majorBidi"/>
          <w:i/>
          <w:iCs/>
          <w:szCs w:val="24"/>
        </w:rPr>
        <w:t xml:space="preserve">(with the request to </w:t>
      </w:r>
      <w:r w:rsidR="00105240" w:rsidRPr="007252F4">
        <w:rPr>
          <w:rFonts w:asciiTheme="majorBidi" w:hAnsiTheme="majorBidi" w:cstheme="majorBidi"/>
          <w:i/>
          <w:iCs/>
          <w:szCs w:val="24"/>
        </w:rPr>
        <w:t>upload the same</w:t>
      </w:r>
      <w:r w:rsidRPr="007252F4">
        <w:rPr>
          <w:rFonts w:asciiTheme="majorBidi" w:hAnsiTheme="majorBidi" w:cstheme="majorBidi"/>
          <w:i/>
          <w:iCs/>
          <w:szCs w:val="24"/>
        </w:rPr>
        <w:t xml:space="preserve"> on the E&amp;SED website)</w:t>
      </w:r>
    </w:p>
    <w:p w:rsidR="00617FC8" w:rsidRPr="007252F4" w:rsidRDefault="00617FC8" w:rsidP="00D3370B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PS to Special Secretary</w:t>
      </w:r>
      <w:r w:rsidR="00D3370B" w:rsidRPr="007252F4">
        <w:rPr>
          <w:rFonts w:asciiTheme="majorBidi" w:hAnsiTheme="majorBidi" w:cstheme="majorBidi"/>
          <w:szCs w:val="24"/>
        </w:rPr>
        <w:t>,</w:t>
      </w:r>
      <w:r w:rsidRPr="007252F4">
        <w:rPr>
          <w:rFonts w:asciiTheme="majorBidi" w:hAnsiTheme="majorBidi" w:cstheme="majorBidi"/>
          <w:szCs w:val="24"/>
        </w:rPr>
        <w:t xml:space="preserve"> </w:t>
      </w:r>
      <w:r w:rsidR="00D3370B" w:rsidRPr="007252F4">
        <w:rPr>
          <w:rFonts w:asciiTheme="majorBidi" w:hAnsiTheme="majorBidi" w:cstheme="majorBidi"/>
          <w:szCs w:val="24"/>
        </w:rPr>
        <w:t>E&amp;SE</w:t>
      </w:r>
      <w:r w:rsidRPr="007252F4">
        <w:rPr>
          <w:rFonts w:asciiTheme="majorBidi" w:hAnsiTheme="majorBidi" w:cstheme="majorBidi"/>
          <w:szCs w:val="24"/>
        </w:rPr>
        <w:t xml:space="preserve"> Department</w:t>
      </w:r>
    </w:p>
    <w:p w:rsidR="00617FC8" w:rsidRPr="007252F4" w:rsidRDefault="00617FC8" w:rsidP="00617FC8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Theme="majorBidi" w:hAnsiTheme="majorBidi" w:cstheme="majorBidi"/>
          <w:szCs w:val="24"/>
        </w:rPr>
      </w:pPr>
      <w:r w:rsidRPr="007252F4">
        <w:rPr>
          <w:rFonts w:asciiTheme="majorBidi" w:hAnsiTheme="majorBidi" w:cstheme="majorBidi"/>
          <w:szCs w:val="24"/>
        </w:rPr>
        <w:t>Master File</w:t>
      </w:r>
    </w:p>
    <w:p w:rsidR="00617FC8" w:rsidRPr="007252F4" w:rsidRDefault="00617FC8" w:rsidP="00617FC8">
      <w:pPr>
        <w:pStyle w:val="NoSpacing"/>
        <w:spacing w:line="276" w:lineRule="auto"/>
        <w:jc w:val="both"/>
        <w:rPr>
          <w:rFonts w:asciiTheme="majorBidi" w:hAnsiTheme="majorBidi" w:cstheme="majorBidi"/>
          <w:szCs w:val="24"/>
        </w:rPr>
      </w:pPr>
    </w:p>
    <w:p w:rsidR="000B4874" w:rsidRPr="007252F4" w:rsidRDefault="000B4874" w:rsidP="00617FC8">
      <w:pPr>
        <w:pStyle w:val="NoSpacing"/>
        <w:spacing w:line="276" w:lineRule="auto"/>
        <w:jc w:val="both"/>
        <w:rPr>
          <w:rFonts w:asciiTheme="majorBidi" w:hAnsiTheme="majorBidi" w:cstheme="majorBidi"/>
          <w:szCs w:val="24"/>
        </w:rPr>
      </w:pPr>
    </w:p>
    <w:p w:rsidR="00617FC8" w:rsidRPr="007252F4" w:rsidRDefault="00617FC8" w:rsidP="00617FC8">
      <w:pPr>
        <w:pStyle w:val="NoSpacing"/>
        <w:spacing w:line="276" w:lineRule="auto"/>
        <w:jc w:val="both"/>
        <w:rPr>
          <w:rFonts w:asciiTheme="majorBidi" w:hAnsiTheme="majorBidi" w:cstheme="majorBidi"/>
          <w:szCs w:val="24"/>
        </w:rPr>
      </w:pPr>
    </w:p>
    <w:p w:rsidR="00516EC4" w:rsidRPr="007252F4" w:rsidRDefault="00516EC4" w:rsidP="00516EC4">
      <w:pPr>
        <w:pStyle w:val="NoSpacing"/>
        <w:spacing w:line="276" w:lineRule="auto"/>
        <w:ind w:left="5040"/>
        <w:jc w:val="center"/>
        <w:rPr>
          <w:rFonts w:asciiTheme="majorBidi" w:hAnsiTheme="majorBidi" w:cstheme="majorBidi"/>
          <w:b/>
          <w:bCs/>
          <w:szCs w:val="24"/>
        </w:rPr>
      </w:pPr>
      <w:r w:rsidRPr="007252F4">
        <w:rPr>
          <w:rFonts w:asciiTheme="majorBidi" w:hAnsiTheme="majorBidi" w:cstheme="majorBidi"/>
          <w:b/>
          <w:bCs/>
          <w:szCs w:val="24"/>
        </w:rPr>
        <w:t>Section Officer (Reforms)</w:t>
      </w:r>
    </w:p>
    <w:p w:rsidR="00516EC4" w:rsidRPr="007252F4" w:rsidRDefault="00516EC4" w:rsidP="00516EC4">
      <w:pPr>
        <w:pStyle w:val="NoSpacing"/>
        <w:spacing w:line="276" w:lineRule="auto"/>
        <w:ind w:left="5040"/>
        <w:jc w:val="center"/>
        <w:rPr>
          <w:rFonts w:asciiTheme="majorBidi" w:hAnsiTheme="majorBidi" w:cstheme="majorBidi"/>
          <w:b/>
          <w:bCs/>
          <w:szCs w:val="24"/>
        </w:rPr>
      </w:pPr>
      <w:r w:rsidRPr="007252F4">
        <w:rPr>
          <w:rFonts w:asciiTheme="majorBidi" w:hAnsiTheme="majorBidi" w:cstheme="majorBidi"/>
          <w:b/>
          <w:bCs/>
          <w:szCs w:val="24"/>
        </w:rPr>
        <w:t>Reforms &amp; Implementation Wing,</w:t>
      </w:r>
    </w:p>
    <w:p w:rsidR="00516EC4" w:rsidRPr="007252F4" w:rsidRDefault="00516EC4" w:rsidP="00516EC4">
      <w:pPr>
        <w:pStyle w:val="NoSpacing"/>
        <w:spacing w:line="276" w:lineRule="auto"/>
        <w:ind w:left="5040"/>
        <w:jc w:val="center"/>
        <w:rPr>
          <w:rFonts w:asciiTheme="majorBidi" w:hAnsiTheme="majorBidi" w:cstheme="majorBidi"/>
          <w:b/>
          <w:bCs/>
          <w:szCs w:val="24"/>
        </w:rPr>
      </w:pPr>
      <w:r w:rsidRPr="007252F4">
        <w:rPr>
          <w:rFonts w:asciiTheme="majorBidi" w:hAnsiTheme="majorBidi" w:cstheme="majorBidi"/>
          <w:b/>
          <w:bCs/>
          <w:szCs w:val="24"/>
        </w:rPr>
        <w:t>E&amp;SED</w:t>
      </w:r>
    </w:p>
    <w:p w:rsidR="00E50FE9" w:rsidRPr="007252F4" w:rsidRDefault="00E50FE9" w:rsidP="004407D2">
      <w:pPr>
        <w:rPr>
          <w:rFonts w:asciiTheme="majorBidi" w:hAnsiTheme="majorBidi" w:cstheme="majorBidi"/>
          <w:sz w:val="24"/>
          <w:szCs w:val="24"/>
        </w:rPr>
      </w:pPr>
    </w:p>
    <w:sectPr w:rsidR="00E50FE9" w:rsidRPr="00725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FFB"/>
    <w:multiLevelType w:val="hybridMultilevel"/>
    <w:tmpl w:val="56EE38D6"/>
    <w:lvl w:ilvl="0" w:tplc="B0A6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3499D"/>
    <w:multiLevelType w:val="hybridMultilevel"/>
    <w:tmpl w:val="9EA4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31"/>
    <w:rsid w:val="00046604"/>
    <w:rsid w:val="000929E1"/>
    <w:rsid w:val="000B4874"/>
    <w:rsid w:val="00105240"/>
    <w:rsid w:val="001663CD"/>
    <w:rsid w:val="001B084F"/>
    <w:rsid w:val="001B3CB4"/>
    <w:rsid w:val="001C5515"/>
    <w:rsid w:val="00285F70"/>
    <w:rsid w:val="00351EF5"/>
    <w:rsid w:val="00386B52"/>
    <w:rsid w:val="004407D2"/>
    <w:rsid w:val="00516EC4"/>
    <w:rsid w:val="005E2A28"/>
    <w:rsid w:val="00617FC8"/>
    <w:rsid w:val="006F7F9C"/>
    <w:rsid w:val="007252F4"/>
    <w:rsid w:val="00795865"/>
    <w:rsid w:val="007B4F31"/>
    <w:rsid w:val="007C11C2"/>
    <w:rsid w:val="008547EA"/>
    <w:rsid w:val="00A62A88"/>
    <w:rsid w:val="00B378DB"/>
    <w:rsid w:val="00B70C3F"/>
    <w:rsid w:val="00C4110F"/>
    <w:rsid w:val="00CD6D82"/>
    <w:rsid w:val="00D3370B"/>
    <w:rsid w:val="00E5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B088"/>
  <w15:chartTrackingRefBased/>
  <w15:docId w15:val="{54C30D0F-6BA7-4AAF-86CD-8B3E805A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C2"/>
    <w:pPr>
      <w:ind w:left="720"/>
      <w:contextualSpacing/>
    </w:pPr>
  </w:style>
  <w:style w:type="paragraph" w:styleId="NoSpacing">
    <w:name w:val="No Spacing"/>
    <w:uiPriority w:val="1"/>
    <w:qFormat/>
    <w:rsid w:val="00617FC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Asmat</dc:creator>
  <cp:keywords/>
  <dc:description/>
  <cp:lastModifiedBy>Asmat</cp:lastModifiedBy>
  <cp:revision>47</cp:revision>
  <dcterms:created xsi:type="dcterms:W3CDTF">2021-06-07T08:36:00Z</dcterms:created>
  <dcterms:modified xsi:type="dcterms:W3CDTF">2021-11-02T06:46:00Z</dcterms:modified>
</cp:coreProperties>
</file>